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065" w:leader="none"/>
        </w:tabs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Arial" w:hAnsi="Arial"/>
          <w:sz w:val="24"/>
          <w:szCs w:val="24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Приложение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к постановлению администрации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Свердловского района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от 10 сентября 2019г.  № 887</w:t>
      </w:r>
      <w:bookmarkStart w:id="0" w:name="sub_1000"/>
      <w:bookmarkEnd w:id="0"/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center"/>
        <w:rPr/>
      </w:pPr>
      <w:r>
        <w:rPr>
          <w:rFonts w:ascii="Arial" w:hAnsi="Arial"/>
          <w:sz w:val="26"/>
          <w:szCs w:val="26"/>
        </w:rPr>
        <w:t xml:space="preserve"> </w:t>
      </w:r>
    </w:p>
    <w:p>
      <w:pPr>
        <w:pStyle w:val="Normal"/>
        <w:widowControl w:val="false"/>
        <w:jc w:val="center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center"/>
        <w:rPr>
          <w:rFonts w:ascii="Arial" w:hAnsi="Arial"/>
          <w:b/>
          <w:b/>
          <w:sz w:val="26"/>
          <w:szCs w:val="26"/>
        </w:rPr>
      </w:pPr>
      <w:r>
        <w:rPr>
          <w:rFonts w:ascii="Arial" w:hAnsi="Arial"/>
          <w:b/>
          <w:sz w:val="26"/>
          <w:szCs w:val="26"/>
        </w:rPr>
      </w:r>
    </w:p>
    <w:p>
      <w:pPr>
        <w:pStyle w:val="Normal"/>
        <w:widowControl w:val="false"/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МУНИЦИПАЛЬНАЯ ПРОГРАММА </w:t>
      </w:r>
    </w:p>
    <w:p>
      <w:pPr>
        <w:pStyle w:val="Normal"/>
        <w:widowControl w:val="false"/>
        <w:jc w:val="center"/>
        <w:rPr/>
      </w:pPr>
      <w:r>
        <w:rPr>
          <w:b/>
          <w:sz w:val="40"/>
          <w:szCs w:val="40"/>
        </w:rPr>
        <w:t>СВЕРДЛОВСКОГО РАЙОНА</w:t>
      </w:r>
    </w:p>
    <w:p>
      <w:pPr>
        <w:pStyle w:val="Normal"/>
        <w:widowControl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widowControl w:val="false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 w:val="false"/>
        <w:ind w:firstLine="709"/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«Создание и ремонт контейнерных </w:t>
      </w:r>
    </w:p>
    <w:p>
      <w:pPr>
        <w:pStyle w:val="Normal"/>
        <w:widowControl w:val="false"/>
        <w:ind w:firstLine="709"/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площадок на территории </w:t>
      </w:r>
    </w:p>
    <w:p>
      <w:pPr>
        <w:pStyle w:val="Normal"/>
        <w:widowControl w:val="false"/>
        <w:ind w:firstLine="709"/>
        <w:jc w:val="center"/>
        <w:rPr>
          <w:sz w:val="36"/>
          <w:szCs w:val="36"/>
        </w:rPr>
      </w:pPr>
      <w:r>
        <w:rPr>
          <w:b/>
          <w:sz w:val="36"/>
          <w:szCs w:val="36"/>
        </w:rPr>
        <w:t>Свердловского района Орловской области»</w:t>
      </w:r>
    </w:p>
    <w:p>
      <w:pPr>
        <w:pStyle w:val="Normal"/>
        <w:widowControl w:val="false"/>
        <w:ind w:firstLine="709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widowControl w:val="false"/>
        <w:ind w:firstLine="698"/>
        <w:jc w:val="right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>
          <w:b/>
          <w:bCs/>
          <w:sz w:val="28"/>
          <w:szCs w:val="28"/>
        </w:rPr>
        <w:t>пгт. Змиевка, 2019 год</w:t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Паспорт муниципальной  программы "Создание и ремонт контейнерных площадок на территории Свердловского  района Орловской области  в 2019 - 2021  годах"</w:t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  <w:bookmarkStart w:id="1" w:name="sub_1100"/>
      <w:bookmarkStart w:id="2" w:name="sub_1100"/>
      <w:bookmarkEnd w:id="2"/>
    </w:p>
    <w:tbl>
      <w:tblPr>
        <w:tblW w:w="10143" w:type="dxa"/>
        <w:jc w:val="left"/>
        <w:tblInd w:w="-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83"/>
        <w:gridCol w:w="7759"/>
      </w:tblGrid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Муниципальная программа </w:t>
            </w:r>
            <w:bookmarkStart w:id="3" w:name="__DdeLink__439_360901371"/>
            <w:r>
              <w:rPr>
                <w:sz w:val="28"/>
                <w:szCs w:val="28"/>
              </w:rPr>
              <w:t>"Создание и ремонт контейнерных площадок на территории Свердловского района Орловской области"</w:t>
            </w:r>
            <w:bookmarkEnd w:id="3"/>
            <w:r>
              <w:rPr>
                <w:sz w:val="28"/>
                <w:szCs w:val="28"/>
              </w:rPr>
              <w:t xml:space="preserve"> (далее - Программа)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Главный распорядитель бюджетных средств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 Орловской области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2019 - 2021 годы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Цели и задачи Программы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Программы: создание для жителей Свердловского района благоприятных санитарно-экологических условий.</w:t>
            </w:r>
          </w:p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Задачи Программы: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создание на территории Свердловского района контейнерных площадок;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доведение технического и эксплуатационного состояния контейнерных площадок, расположенных на территории Свердловского района, до нормативных требований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Свердловского района, соисполнители - хозяйствующие субъекты, определенные в соответствии с действующим законодательством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Ожидаемые конечные результаты от реализации Программы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Реализация Программы позволит выполнить комплекс работ по созданию и ремонту контейнерных площадок в Свердловском районе, улучшить их техническое и эксплуатационное состояние согласно </w:t>
            </w:r>
            <w:hyperlink r:id="rId2">
              <w:r>
                <w:rPr>
                  <w:rStyle w:val="ListLabel2"/>
                  <w:sz w:val="28"/>
                  <w:szCs w:val="28"/>
                </w:rPr>
                <w:t>СанПиН 42-128-4690-88</w:t>
              </w:r>
            </w:hyperlink>
            <w:r>
              <w:rPr>
                <w:sz w:val="28"/>
                <w:szCs w:val="28"/>
              </w:rPr>
              <w:t xml:space="preserve"> "Санитарные правила содержания территорий населенных мест", упорядочить отношения в сфере обращения с отходами, уменьшить количество несанкционированных свалок отходов и количество жалоб населения по вопросам санитарного содержания территорий городского и сельских поселений.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Важнейшие целевые индикаторы и показатели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За период реализации Программы планируется получить следующие результаты: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- количество созданных и отремонтированных контейнерных площадок — </w:t>
            </w:r>
            <w:r>
              <w:rPr>
                <w:sz w:val="28"/>
                <w:szCs w:val="28"/>
                <w:highlight w:val="white"/>
              </w:rPr>
              <w:t xml:space="preserve">107 </w:t>
            </w:r>
            <w:r>
              <w:rPr>
                <w:sz w:val="28"/>
                <w:szCs w:val="28"/>
              </w:rPr>
              <w:t>ед.;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- сокращение доли контейнерных площадок, не соответствующих требованиям </w:t>
            </w:r>
            <w:hyperlink r:id="rId3">
              <w:r>
                <w:rPr>
                  <w:rStyle w:val="ListLabel2"/>
                  <w:sz w:val="28"/>
                  <w:szCs w:val="28"/>
                </w:rPr>
                <w:t>СанПиН N 42-128-4690-88</w:t>
              </w:r>
            </w:hyperlink>
            <w:r>
              <w:rPr>
                <w:sz w:val="28"/>
                <w:szCs w:val="28"/>
              </w:rPr>
              <w:t xml:space="preserve"> "Санитарные правила содержания территорий населенных мест", до 70%</w:t>
            </w:r>
          </w:p>
        </w:tc>
      </w:tr>
      <w:tr>
        <w:trPr/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Общий объем средств на реализацию Программы составляет 6170,00</w:t>
            </w:r>
            <w:r>
              <w:rPr>
                <w:sz w:val="28"/>
                <w:szCs w:val="28"/>
                <w:highlight w:val="white"/>
              </w:rPr>
              <w:t> </w:t>
            </w:r>
            <w:r>
              <w:rPr>
                <w:sz w:val="28"/>
                <w:szCs w:val="28"/>
              </w:rPr>
              <w:t>тыс. руб., из них по годам: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highlight w:val="white"/>
              </w:rPr>
              <w:t>- 2019 год  - 550,00 тыс. руб.;</w:t>
            </w:r>
          </w:p>
          <w:p>
            <w:pPr>
              <w:pStyle w:val="Normal"/>
              <w:jc w:val="both"/>
              <w:rPr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- 2020 год -1120,00  тыс. руб.;</w:t>
            </w:r>
          </w:p>
          <w:p>
            <w:pPr>
              <w:pStyle w:val="Normal"/>
              <w:jc w:val="both"/>
              <w:rPr>
                <w:highlight w:val="white"/>
              </w:rPr>
            </w:pPr>
            <w:bookmarkStart w:id="4" w:name="__DdeLink__474_1541474172"/>
            <w:r>
              <w:rPr>
                <w:sz w:val="28"/>
                <w:szCs w:val="28"/>
                <w:highlight w:val="white"/>
              </w:rPr>
              <w:t>- 2021 год - 4500,00  тыс. руб.</w:t>
            </w:r>
            <w:bookmarkEnd w:id="4"/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- бюджет Свердловский района , внебюджетные источники.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бюджет Свердловского района:</w:t>
            </w:r>
          </w:p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highlight w:val="white"/>
              </w:rPr>
              <w:t>- 2019 год  - 550,00 тыс. руб.;</w:t>
            </w:r>
          </w:p>
          <w:p>
            <w:pPr>
              <w:pStyle w:val="Normal"/>
              <w:jc w:val="both"/>
              <w:rPr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- 2020 год -1120,00  тыс. руб.;</w:t>
            </w:r>
          </w:p>
          <w:p>
            <w:pPr>
              <w:pStyle w:val="Normal"/>
              <w:jc w:val="both"/>
              <w:rPr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- 2021 год - 4500,00  тыс. руб.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I. Общая  характеристика сферы реализации Программы, включая описание  текущего состояния, основных проблем в указанной  сфере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прогноз ее развития</w:t>
      </w:r>
    </w:p>
    <w:p>
      <w:pPr>
        <w:pStyle w:val="Normal"/>
        <w:numPr>
          <w:ilvl w:val="0"/>
          <w:numId w:val="0"/>
        </w:numPr>
        <w:tabs>
          <w:tab w:val="left" w:pos="1230" w:leader="none"/>
        </w:tabs>
        <w:ind w:right="-1" w:hang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Проблема сбора и транспортирования твердых коммунальных отходов является одной из наиболее актуальных санитарно-экологических проблем Свердловского района.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В соответствии с вступившими с 01.01.2019 изменениями в </w:t>
      </w:r>
      <w:hyperlink r:id="rId4">
        <w:r>
          <w:rPr>
            <w:rStyle w:val="ListLabel2"/>
            <w:sz w:val="28"/>
            <w:szCs w:val="28"/>
          </w:rPr>
          <w:t>Федеральный закон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24.06.1998 № 89-ФЗ "Об отходах производства и потребления",  к полномочиям органов местного самоуправления отнесено 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лицах.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В соответствии с действующим федеральным, региональным и муниципальным законодательством контейнерные площадки должны иметь всепогодные подъезды, трехсторонние ограждения и твердые основания.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ряд контейнерных площадок, размещенных на территории Свердловского района,  не соответствует указанным требованиям либо вообще отсутствуют. Это приводит к загрязнению и ухудшению санитарно-экологического состояния территории района. Кроме того, ранее созданные контейнерные площадки периодически повреждаются в результате их ненадлежащей эксплуатации специализированными перевозчиками.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В связи с изложенным имеется необходимость осуществления регулярных работ по созданию и ремонту контейнерных площадок.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numPr>
          <w:ilvl w:val="0"/>
          <w:numId w:val="0"/>
        </w:numPr>
        <w:ind w:right="-1" w:hanging="0"/>
        <w:jc w:val="center"/>
        <w:outlineLvl w:val="0"/>
        <w:rPr>
          <w:sz w:val="28"/>
          <w:szCs w:val="28"/>
        </w:rPr>
      </w:pPr>
      <w:bookmarkStart w:id="5" w:name="sub_200"/>
      <w:bookmarkEnd w:id="5"/>
      <w:r>
        <w:rPr>
          <w:b/>
          <w:bCs/>
          <w:sz w:val="28"/>
          <w:szCs w:val="28"/>
          <w:lang w:val="en-US"/>
        </w:rPr>
        <w:t>II</w:t>
      </w:r>
      <w:r>
        <w:rPr>
          <w:b/>
          <w:bCs/>
          <w:sz w:val="28"/>
          <w:szCs w:val="28"/>
        </w:rPr>
        <w:t>. Приоритеты государственной политики в сфере реализации Программы, цели, задачи и показатели (индикаторы) достижения  целей и решения  задач, описание основных ожидаемых конечных результатов Программы, сроков и этапов ее реализации.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Основная цель Программы: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создание для жителей Свердловского района благоприятных санитарно-экологических условий.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Задачи Программы: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создание на территории Свердловского района контейнерных площадок;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- доведение технического и эксплуатационного состояния контейнерных площадок, расположенных на территории Свердловского района, до нормативных требований (наличие трехстороннего ограждения и твердого основания, всепогодного подъезда).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В результате выполнения Программы ожидается: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- создать и отремонтировать </w:t>
      </w:r>
      <w:r>
        <w:rPr>
          <w:sz w:val="28"/>
          <w:szCs w:val="28"/>
          <w:highlight w:val="white"/>
        </w:rPr>
        <w:t>107</w:t>
      </w:r>
      <w:r>
        <w:rPr>
          <w:sz w:val="28"/>
          <w:szCs w:val="28"/>
        </w:rPr>
        <w:t xml:space="preserve"> контейнерных площадок в Свердловском районе;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- сократить долю контейнерных площадок, не соответствующих требованиям </w:t>
      </w:r>
      <w:hyperlink r:id="rId5">
        <w:r>
          <w:rPr>
            <w:rStyle w:val="ListLabel2"/>
            <w:sz w:val="28"/>
            <w:szCs w:val="28"/>
          </w:rPr>
          <w:t>СанПиН № 42-128-4690-88</w:t>
        </w:r>
      </w:hyperlink>
      <w:r>
        <w:rPr>
          <w:sz w:val="28"/>
          <w:szCs w:val="28"/>
        </w:rPr>
        <w:t xml:space="preserve"> "Санитарные правила содержания территорий населенных мест", до 70%.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BodyTextIndent3"/>
        <w:numPr>
          <w:ilvl w:val="0"/>
          <w:numId w:val="0"/>
        </w:numPr>
        <w:ind w:left="283" w:firstLine="709"/>
        <w:jc w:val="center"/>
        <w:outlineLvl w:val="0"/>
        <w:rPr/>
      </w:pPr>
      <w:bookmarkStart w:id="6" w:name="sub_400"/>
      <w:bookmarkEnd w:id="6"/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</w:rPr>
        <w:t>. Характеристика основных мероприятий  программы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В рамках Программы реализуются мероприятия по созданию и ремонту контейнерных площадок в Свердловском  районе, которые включают в себя: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- создание контейнерных площадок для сбора твердых коммунальных отходов;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ремонт ранее оборудованных контейнерных площадок для сбора твердых коммунальных отходов.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Срок реализации Программы - 2019 - 2021 годы. Допускается корректировка мероприятий Программы по срокам и объемам финансирования.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0" w:leader="none"/>
        </w:tabs>
        <w:ind w:firstLine="426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Обобщенная характеристика мер государственного  регулирования</w:t>
      </w:r>
    </w:p>
    <w:p>
      <w:pPr>
        <w:pStyle w:val="Normal"/>
        <w:tabs>
          <w:tab w:val="left" w:pos="0" w:leader="none"/>
        </w:tabs>
        <w:ind w:firstLine="426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ходе выполнения  муниципальной программы предусматривается применение правового регулирования  в сфере реализации Программы. Предусматривается  проведение ежегодного мониторинга действующей нормативно - правовой базы.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налоговых, тарифных, кредитных и иных мер государственного регулирования в рамках реализации Программы не предусмотрено.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Сведения о мерах правового регулирования представлены в приложении 3 к Программе.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840" w:hanging="0"/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ind w:left="840" w:hanging="0"/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V. Прогноз сводных показателей</w:t>
      </w:r>
    </w:p>
    <w:p>
      <w:pPr>
        <w:pStyle w:val="Normal"/>
        <w:ind w:left="840" w:hanging="0"/>
        <w:jc w:val="center"/>
        <w:rPr/>
      </w:pPr>
      <w:r>
        <w:rPr>
          <w:b/>
          <w:sz w:val="28"/>
          <w:szCs w:val="28"/>
        </w:rPr>
        <w:t>муниципальных заданий по этапам реализации Программы</w:t>
      </w:r>
    </w:p>
    <w:p>
      <w:pPr>
        <w:pStyle w:val="Normal"/>
        <w:ind w:left="84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 xml:space="preserve">Прогноз сводных показателей муниципальных заданий  представлен в приложении 1 к Программе. Ресурсное обеспечение муниципальной программы представлено в приложении 2 к Программе. </w:t>
      </w:r>
    </w:p>
    <w:p>
      <w:pPr>
        <w:pStyle w:val="Normal"/>
        <w:ind w:left="84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84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VI. Информация об участии общественных, научных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 иных организаций, а также целевых внебюджетных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фондов в реализации Программы</w:t>
      </w:r>
    </w:p>
    <w:p>
      <w:pPr>
        <w:pStyle w:val="Normal"/>
        <w:ind w:firstLine="5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>Участие  общественных, научных и иных организаций, а также целевых внебюджетных фондов в рамках реализации Программы не запланировано.</w:t>
      </w:r>
    </w:p>
    <w:p>
      <w:pPr>
        <w:pStyle w:val="Normal"/>
        <w:jc w:val="both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1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>. Обоснование объема финансовых ресурсов,</w:t>
      </w:r>
    </w:p>
    <w:p>
      <w:pPr>
        <w:pStyle w:val="Normal"/>
        <w:jc w:val="center"/>
        <w:rPr>
          <w:b/>
          <w:b/>
          <w:sz w:val="28"/>
          <w:szCs w:val="28"/>
        </w:rPr>
      </w:pPr>
      <w:bookmarkStart w:id="7" w:name="sub_500"/>
      <w:bookmarkEnd w:id="7"/>
      <w:r>
        <w:rPr>
          <w:b/>
          <w:bCs/>
          <w:sz w:val="28"/>
          <w:szCs w:val="28"/>
        </w:rPr>
        <w:t>необходимых для реализации Программы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Источник финансирования - бюджет Свердловского района,  внебюджетные источники 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  <w:highlight w:val="white"/>
        </w:rPr>
        <w:t>Общий объем средств на реализацию Программы – 6170,00  тыс. руб., из них: в 2019 году – 550,00  тыс. руб., в 2020 году -   1120,00 тыс. руб., в 2021 году – 4500,00  тыс. руб.</w:t>
      </w:r>
    </w:p>
    <w:p>
      <w:pPr>
        <w:pStyle w:val="Normal"/>
        <w:ind w:firstLine="709"/>
        <w:jc w:val="both"/>
        <w:rPr>
          <w:highlight w:val="white"/>
        </w:rPr>
      </w:pPr>
      <w:r>
        <w:rPr>
          <w:sz w:val="28"/>
          <w:szCs w:val="28"/>
          <w:highlight w:val="white"/>
        </w:rPr>
        <w:t>Всего, за весь срок реализации Программы будет создано и отремонтировано 107 площадок: в 2019 году - 12 в 2020 году - 29, в 2021 году — 66.</w:t>
      </w:r>
    </w:p>
    <w:p>
      <w:pPr>
        <w:pStyle w:val="Normal"/>
        <w:ind w:firstLine="709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>При определении объема финансовых средств, необходимого для реализации программных мероприятий, использовался затратный метод (сравнение планируемого мероприятия с аналогичным по ряду признаков, затраты на реализацию которого известны).</w:t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Объемы финансирования Программы за счет средств бюджета Свердловского района носят прогнозный характер и подлежат ежегодному уточнению в установленном порядке при формировании проекта бюджета на соответствующий год и представлен в приложении 2 к Программе.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1"/>
        <w:rPr/>
      </w:pPr>
      <w:r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>. Анализ рисков реализации Программы и описание мер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управления рисками реализации Программы</w:t>
      </w:r>
    </w:p>
    <w:p>
      <w:pPr>
        <w:pStyle w:val="Normal"/>
        <w:ind w:firstLine="5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Риски реализации Программы разделены на внутренние, которые относятся к сфере компетенции ответственного исполнителя и соисполнителей Программы, и внешние, наступление или ненаступление которых не зависит от действий исполнителей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Внутренние риски могут являться следствием: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низкой исполнительской дисциплины должностных лиц, ответственных за выполнение мероприятий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несвоевременной разработки, согласования и принятия документов, обеспечивающих выполнение мероприятий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недостаточной оперативности при корректировке плана реализации Программы при наступлении внешних рисков реализации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Мерами управления внутренними рисками являются: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детальное планирование хода реализации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б) оперативный мониторинг выполнения мероприятий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в) своевременная актуализация ежегодных планов реализации Программы, в том числе корректировка состава и сроков исполнения мероприятий с сохранением ожидаемых результатов мероприятий Программы;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г) межведомственная координация при проведении мероприятий Программы, осуществляемая ответственными исполнителями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Внешние риски могут являться следствием: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а) деятельности иных органов государственной власти (органов местного самоуправления) - несогласованности выполнения работ в рамках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б) возникновения дестабилизирующих общественных процессов.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управления рисками этой группы предусмотрено проведение в течение всего срока выполнения Программы мониторинга и прогнозирования текущих тенденций в сфере реализации Программы и при необходимости актуализация плана реализации программы.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3"/>
        </w:numPr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  конечных результатов реализации </w:t>
      </w:r>
    </w:p>
    <w:p>
      <w:pPr>
        <w:pStyle w:val="Normal"/>
        <w:ind w:left="54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муниципальной программы</w:t>
      </w:r>
    </w:p>
    <w:p>
      <w:pPr>
        <w:pStyle w:val="Normal"/>
        <w:ind w:left="54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носит социальный характер, результаты реализации ее мероприятий будут оказывать влияние на различные стороны жизни района и общества на протяжении длительного времени.  Она позволит добиться позитивных изменений: </w:t>
      </w:r>
    </w:p>
    <w:p>
      <w:pPr>
        <w:pStyle w:val="Normal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720"/>
        <w:jc w:val="both"/>
        <w:rPr/>
      </w:pPr>
      <w:r>
        <w:rPr>
          <w:sz w:val="28"/>
          <w:szCs w:val="28"/>
        </w:rPr>
        <w:t xml:space="preserve">- сократить долю контейнерных площадок, не соответствующих требованиям </w:t>
      </w:r>
      <w:hyperlink r:id="rId6">
        <w:r>
          <w:rPr>
            <w:rStyle w:val="ListLabel2"/>
            <w:sz w:val="28"/>
            <w:szCs w:val="28"/>
          </w:rPr>
          <w:t>СанПиН N 42-128-4690-88</w:t>
        </w:r>
      </w:hyperlink>
      <w:r>
        <w:rPr>
          <w:sz w:val="28"/>
          <w:szCs w:val="28"/>
        </w:rPr>
        <w:t xml:space="preserve"> "Санитарные правила содержания территорий населенных мест", до 70%;</w:t>
      </w:r>
    </w:p>
    <w:p>
      <w:pPr>
        <w:pStyle w:val="Normal"/>
        <w:ind w:right="-1" w:firstLine="720"/>
        <w:jc w:val="both"/>
        <w:rPr>
          <w:sz w:val="28"/>
        </w:rPr>
      </w:pPr>
      <w:r>
        <w:rPr>
          <w:sz w:val="28"/>
        </w:rPr>
        <w:t>- улучшение экологической ситуации на территории муниципального образования Свердловского района Орловской области.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center"/>
        <w:outlineLvl w:val="1"/>
        <w:rPr/>
      </w:pPr>
      <w:r>
        <w:rPr>
          <w:b/>
          <w:sz w:val="28"/>
          <w:szCs w:val="28"/>
          <w:lang w:val="en-US"/>
        </w:rPr>
        <w:t>X</w:t>
      </w:r>
      <w:r>
        <w:rPr>
          <w:b/>
          <w:sz w:val="28"/>
          <w:szCs w:val="28"/>
        </w:rPr>
        <w:t>. Порядок и методика оценки эффективности Программы</w:t>
      </w:r>
    </w:p>
    <w:p>
      <w:pPr>
        <w:pStyle w:val="Normal"/>
        <w:numPr>
          <w:ilvl w:val="0"/>
          <w:numId w:val="0"/>
        </w:numPr>
        <w:ind w:left="1260" w:hanging="0"/>
        <w:jc w:val="center"/>
        <w:outlineLvl w:val="1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выполнения Программы проводится для обеспечения ответственного исполнителя Программы оперативной информацией о ходе и промежуточных результатах выполнения мероприятий Программы, подпрограмм и решения задач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исполнитель Программы использует результаты оценки эффективности ее выполнения при принятии решений: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 корректировке плана реализации Программы на текущий год;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формировании плана реализации Программы на очередной год;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подготовке предложений по корректировке Программы в случае выявления факторов, существенно влияющих на ход реализации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Для проведения текущего мониторинга реализации Программы соисполнители Программы предоставляют в ответственному исполнителю отчетную информацию, в следующие сроки: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оперативная информация о ходе реализации Программы - ежеквартально, до 5 числа месяца, следующего за отчетным кварталом;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годовой отчет о реализации Программы в отчетном году - до 10 февраля года, следующего за отчетным.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В случае необходимости ответственный исполнитель Программы дополнительно запрашивает у соисполнителей информацию, необходимую для подготовки ответов в Аппарат Губернатора и Правительства Орловской области, а также для проведения оценки эффективности Программы и подготовки отчета о ходе реализации и оценке эффективности Программы.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оценке эффективности реализации  Программы учитываются следующие критерии 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целей и решения задач подпрограмм и Программы в целом 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степень реализации мероприятий, решения задач и достижения цели Программы (выполнение мероприятий Программы и подпрограммы в соответствии с планом реализации Программы - соблюдение сроков и соответствие фактического результата ожидаемому);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степень соответствия запланированному уровню затрат и эффективности использования бюджетных средств</w:t>
      </w:r>
      <w:r>
        <w:rPr/>
        <w:t xml:space="preserve"> </w:t>
      </w:r>
      <w:r>
        <w:rPr>
          <w:sz w:val="28"/>
          <w:szCs w:val="28"/>
        </w:rPr>
        <w:t>(соотношение планового и фактического объема финансирования мероприятий Программы) 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Годовой отчет о ходе реализации и оценке эффективности Программы подготавливается ответственным исполнителем совместно с соисполнителями до 1 марта года, следующего за отчетным, и направляется главе администрации района.</w:t>
      </w:r>
    </w:p>
    <w:p>
      <w:pPr>
        <w:pStyle w:val="Style19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Программа считается завершенной, и ее финансирование прекращается после завершения сроков реализации Программы, выполнения всех программных мероприятий или достижения целей Программы.  Руководитель  Программы, при необходимости, вносит Главе  администрации района предложения (с обоснованиями)  о продлении срока  реализации Программы.</w:t>
      </w:r>
    </w:p>
    <w:p>
      <w:pPr>
        <w:pStyle w:val="Normal"/>
        <w:ind w:firstLine="540"/>
        <w:rPr>
          <w:b/>
          <w:b/>
          <w:sz w:val="32"/>
        </w:rPr>
      </w:pPr>
      <w:r>
        <w:rPr>
          <w:b/>
          <w:sz w:val="32"/>
        </w:rPr>
        <w:t xml:space="preserve">                    </w:t>
      </w:r>
    </w:p>
    <w:p>
      <w:pPr>
        <w:pStyle w:val="BlockText"/>
        <w:tabs>
          <w:tab w:val="left" w:pos="0" w:leader="none"/>
          <w:tab w:val="left" w:pos="1680" w:leader="none"/>
        </w:tabs>
        <w:ind w:left="0" w:right="0" w:hanging="0"/>
        <w:rPr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en-US"/>
        </w:rPr>
        <w:t>XI</w:t>
      </w:r>
      <w:r>
        <w:rPr>
          <w:b/>
          <w:sz w:val="32"/>
          <w:szCs w:val="32"/>
        </w:rPr>
        <w:t xml:space="preserve">. Механизм мониторинга реализации Программы </w:t>
      </w:r>
    </w:p>
    <w:p>
      <w:pPr>
        <w:pStyle w:val="BlockText"/>
        <w:tabs>
          <w:tab w:val="left" w:pos="0" w:leader="none"/>
          <w:tab w:val="left" w:pos="1680" w:leader="none"/>
        </w:tabs>
        <w:ind w:left="0" w:right="0" w:hanging="0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- координатор Программы организует работу исполнителей мероприятий Программы по реализации Программы и подготовке необходимых материалов для своевременного и правильного составления отчетности.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течение всего периода реализации Программы осуществляется полугодовой и годовой мониторинги реализации Программы</w:t>
      </w:r>
    </w:p>
    <w:p>
      <w:pPr>
        <w:pStyle w:val="Normal"/>
        <w:ind w:firstLine="54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firstLine="540"/>
        <w:jc w:val="center"/>
        <w:rPr/>
      </w:pPr>
      <w:r>
        <w:rPr>
          <w:b/>
          <w:sz w:val="32"/>
          <w:szCs w:val="32"/>
          <w:lang w:val="en-US"/>
        </w:rPr>
        <w:t>XII</w:t>
      </w:r>
      <w:r>
        <w:rPr>
          <w:b/>
          <w:sz w:val="32"/>
          <w:szCs w:val="32"/>
        </w:rPr>
        <w:t>. Организация управления Программой</w:t>
      </w:r>
    </w:p>
    <w:p>
      <w:pPr>
        <w:pStyle w:val="Normal"/>
        <w:ind w:firstLine="54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 контроль за  ходом ее реализации</w:t>
      </w:r>
    </w:p>
    <w:p>
      <w:pPr>
        <w:pStyle w:val="Normal"/>
        <w:ind w:firstLine="540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своевременной и качественной реализации Программы муниципальный заказчик- координатор Программы осуществляет: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отбор в установленном порядке исполнителей работ и поставщиков оборудования по каждому программному мероприятию, финансируемому за счет бюджетных средств;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-координацию исполнения программных мероприятий, включая мониторинг их реализации, оценку результативности;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непосредственный контроль хода реализации мероприятий Программы;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отчетов о реализации Программы.</w:t>
      </w:r>
    </w:p>
    <w:p>
      <w:pPr>
        <w:pStyle w:val="Normal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>
          <w:b/>
          <w:sz w:val="32"/>
          <w:szCs w:val="32"/>
        </w:rPr>
        <w:t xml:space="preserve">               </w:t>
      </w:r>
      <w:r>
        <w:rPr>
          <w:b/>
          <w:sz w:val="32"/>
          <w:szCs w:val="32"/>
          <w:lang w:val="en-US"/>
        </w:rPr>
        <w:t>XIII</w:t>
      </w:r>
      <w:r>
        <w:rPr>
          <w:b/>
          <w:sz w:val="32"/>
          <w:szCs w:val="32"/>
        </w:rPr>
        <w:t>. Оценка социально-экономической эффективности</w:t>
      </w:r>
    </w:p>
    <w:p>
      <w:pPr>
        <w:pStyle w:val="Normal"/>
        <w:ind w:firstLine="54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реализации мероприятий Программы</w:t>
      </w:r>
    </w:p>
    <w:p>
      <w:pPr>
        <w:pStyle w:val="Normal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мероприятий Программы позволит:</w:t>
      </w:r>
    </w:p>
    <w:p>
      <w:pPr>
        <w:pStyle w:val="Normal"/>
        <w:ind w:right="-1" w:firstLine="720"/>
        <w:jc w:val="both"/>
        <w:rPr>
          <w:sz w:val="28"/>
        </w:rPr>
      </w:pPr>
      <w:r>
        <w:rPr>
          <w:sz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  </w:t>
      </w:r>
      <w:bookmarkStart w:id="8" w:name="__DdeLink__411_494315427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- создать  и отремонтировать  контейнерные площадки в количестве  - 107</w:t>
      </w:r>
      <w:r>
        <w:rPr>
          <w:sz w:val="28"/>
          <w:szCs w:val="28"/>
          <w:highlight w:val="yellow"/>
        </w:rPr>
        <w:t xml:space="preserve"> </w:t>
      </w:r>
      <w:r>
        <w:rPr>
          <w:sz w:val="28"/>
          <w:szCs w:val="28"/>
        </w:rPr>
        <w:t>ед.;</w:t>
      </w:r>
    </w:p>
    <w:p>
      <w:pPr>
        <w:pStyle w:val="Normal"/>
        <w:ind w:right="-1" w:firstLine="720"/>
        <w:jc w:val="both"/>
        <w:rPr/>
      </w:pPr>
      <w:r>
        <w:rPr>
          <w:sz w:val="28"/>
          <w:szCs w:val="28"/>
        </w:rPr>
        <w:t xml:space="preserve">- сократить долю контейнерных площадок, не соответствующих требованиям </w:t>
      </w:r>
      <w:hyperlink r:id="rId7">
        <w:r>
          <w:rPr>
            <w:rStyle w:val="ListLabel2"/>
            <w:sz w:val="28"/>
            <w:szCs w:val="28"/>
          </w:rPr>
          <w:t>СанПиН № 42-128-4690-88</w:t>
        </w:r>
      </w:hyperlink>
      <w:r>
        <w:rPr>
          <w:sz w:val="28"/>
          <w:szCs w:val="28"/>
        </w:rPr>
        <w:t xml:space="preserve"> "Санитарные правила содержания территорий населенных мест", до 70%. </w:t>
      </w:r>
      <w:bookmarkEnd w:id="8"/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>Приложение 1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 xml:space="preserve">к муниципальной программе 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"Создание и ремонт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контейнерных площадок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на территории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Свердловского района</w:t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sz w:val="26"/>
          <w:szCs w:val="26"/>
        </w:rPr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Орловской области"</w:t>
      </w:r>
    </w:p>
    <w:p>
      <w:pPr>
        <w:pStyle w:val="Normal"/>
        <w:numPr>
          <w:ilvl w:val="0"/>
          <w:numId w:val="0"/>
        </w:numPr>
        <w:ind w:firstLine="54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>
          <w:rFonts w:ascii="Arial" w:hAnsi="Arial"/>
          <w:b/>
          <w:bCs/>
          <w:sz w:val="27"/>
          <w:szCs w:val="27"/>
        </w:rPr>
        <w:t>П</w:t>
      </w:r>
      <w:r>
        <w:rPr>
          <w:b/>
          <w:bCs/>
          <w:sz w:val="27"/>
          <w:szCs w:val="27"/>
        </w:rPr>
        <w:t>еречень создаваемых и подлежащих ремонту контейнерных площадок в Свердловском  районе в 2019 - 2021  годах в сфере реализации Программы "Создание и ремонт контейнерных площадок   на территории</w:t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</w:t>
      </w:r>
      <w:r>
        <w:rPr>
          <w:b/>
          <w:bCs/>
          <w:sz w:val="27"/>
          <w:szCs w:val="27"/>
        </w:rPr>
        <w:t>Свердловского  района Орловской области»</w:t>
      </w:r>
    </w:p>
    <w:p>
      <w:pPr>
        <w:pStyle w:val="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</w:r>
    </w:p>
    <w:tbl>
      <w:tblPr>
        <w:tblW w:w="9356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6"/>
        <w:gridCol w:w="3937"/>
        <w:gridCol w:w="1882"/>
        <w:gridCol w:w="2970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N</w:t>
              <w:br/>
              <w:t>п/п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Местоположение контейнерной площадки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Размер контейнерной площадки, м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Наименование работ</w:t>
            </w:r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2019 год</w:t>
            </w:r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r>
              <w:rPr>
                <w:b/>
                <w:bCs/>
                <w:sz w:val="26"/>
                <w:szCs w:val="26"/>
              </w:rPr>
              <w:t>Сельские населенные пункты Свердловского района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д. Васильевка, д. Степановка, д. Никуличи, д. Гостиново, д. Яковлево, д. Красная Рыбница, д. Петрово, с. Никольское, д. Домнино, д. Городище, д. Марьевка, д. Гагаринка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9" w:name="__DdeLink__907_2124596218"/>
            <w:r>
              <w:rPr>
                <w:sz w:val="26"/>
                <w:szCs w:val="26"/>
              </w:rPr>
              <w:t>Устройство основания, ограждения площадки,  приобретение и установка оборудования.</w:t>
            </w:r>
            <w:bookmarkEnd w:id="9"/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/>
                <w:sz w:val="26"/>
                <w:szCs w:val="26"/>
              </w:rPr>
              <w:t>2020 год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пгт. Змиевка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ул. Ленина 24в, ул. Полевая 1а, ул. Ленина 3в, пер. Ленина 38а, ул. Ленина 1а, ул. Свердлова 51а, ул. Привокзальная 17б, ул. Привокзальная 1а, ул. Ленина 11д, ул. Ленина 7а,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6"/>
                <w:szCs w:val="26"/>
              </w:rPr>
              <w:t>Устройство ограждения  площадки для накопления ТКО в соответствии с пунктом 2.1.3 СанПиН 42-128-4690-88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Привокзальная 17б,  ул. Привокзальная 1а, ул. Ленина 7а, пер. Ленина 31а, ул. Полевая 1а, пер. Ленина 38а, ул. Ленина 1а, ул. Свердлова 51а, ул. Ленина 71г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Устройство водонепроницаемого покрытия площадки для накопления ТКО в соответствии с пунктом 2.1.3  42-128-4690-88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ул. Ленина 24б, 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ул. Котовского 3г,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Изменение места расположения контейнерных на расстоянии более 20 м. От жилых домов, детских учреждений, спортивных площадок и от мест отдыха населения </w:t>
            </w:r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r>
              <w:rPr>
                <w:b/>
                <w:bCs/>
                <w:sz w:val="26"/>
                <w:szCs w:val="26"/>
              </w:rPr>
              <w:t>Сельские населенные пункты Свердловского района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Пос. Куракинский площадь имени Князя Куракина д.4; с. Богодухово ул. Садовая, ул. Центральная, ул. Рябиновая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6"/>
                <w:szCs w:val="26"/>
              </w:rPr>
              <w:t>Устройство ограждения  площадки для накопления ТКО в соответствии с пунктом 2.1.3 СанПиН 42-128-4690-88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 Богодухово ул. Садовая, ул. Центральная, ул. Рябиновая, ул. Молодежная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Устройство водонепроницаемого покрытия площадки для накопления ТКО в соответствии с пунктом 2.1.3  42-128-4690-88</w:t>
            </w:r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b/>
                <w:b/>
                <w:sz w:val="24"/>
                <w:szCs w:val="24"/>
              </w:rPr>
            </w:pPr>
            <w:r>
              <w:rPr>
                <w:b/>
                <w:sz w:val="26"/>
                <w:szCs w:val="26"/>
              </w:rPr>
              <w:t>2021 год</w:t>
            </w:r>
          </w:p>
        </w:tc>
      </w:tr>
      <w:tr>
        <w:trPr/>
        <w:tc>
          <w:tcPr>
            <w:tcW w:w="93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/>
            </w:pPr>
            <w:r>
              <w:rPr>
                <w:b/>
                <w:bCs/>
                <w:sz w:val="26"/>
                <w:szCs w:val="26"/>
              </w:rPr>
              <w:t>Сельские населенные пункты Свердловского района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Котовское с/п: д. Сорочьи Кусты.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Кошелевское с/п: д. Кошелево, д. Барановка, с. Козьминское.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Красноармейское с/п: с. Богородицкое, д. Егорьевка, д. Поздеево, с. Преображенское, д. Сандровка, п. Хорошевский, д. Шамшино.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Никольское с/п: д. Анненский Лазавец, с. Змиево, с. Знаменское, с. Плоское, д. Плота, с. Философово.</w:t>
            </w:r>
          </w:p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Новопетровское с/п: д. Федоровка.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Яковлевское с/п:  д. Давыдово, д. Долгое, д. Хвощино, д. Чибисы.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sz w:val="26"/>
                <w:szCs w:val="26"/>
              </w:rPr>
              <w:t>3,5 x 1,75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6"/>
                <w:szCs w:val="26"/>
              </w:rPr>
              <w:t>Устройство основания, ограждения площадки,  приобретение и установка оборудования.</w:t>
            </w:r>
          </w:p>
        </w:tc>
      </w:tr>
    </w:tbl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</w:r>
    </w:p>
    <w:p>
      <w:pPr>
        <w:pStyle w:val="Normal"/>
        <w:jc w:val="center"/>
        <w:rPr/>
      </w:pPr>
      <w:r>
        <w:rPr>
          <w:sz w:val="26"/>
          <w:szCs w:val="26"/>
        </w:rPr>
        <w:t xml:space="preserve">                                                                                             </w:t>
      </w:r>
    </w:p>
    <w:p>
      <w:pPr>
        <w:pStyle w:val="Normal"/>
        <w:jc w:val="center"/>
        <w:rPr/>
      </w:pPr>
      <w:r>
        <w:rPr>
          <w:sz w:val="26"/>
          <w:szCs w:val="26"/>
        </w:rPr>
        <w:t xml:space="preserve">                                                                                                </w:t>
      </w:r>
      <w:r>
        <w:rPr>
          <w:sz w:val="26"/>
          <w:szCs w:val="26"/>
        </w:rPr>
        <w:t>Приложение 2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 xml:space="preserve">к муниципальной программе 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"Создание и ремонт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контейнерных площадок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на территории</w:t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Свердловского района</w:t>
      </w:r>
    </w:p>
    <w:p>
      <w:pPr>
        <w:pStyle w:val="2"/>
        <w:numPr>
          <w:ilvl w:val="1"/>
          <w:numId w:val="2"/>
        </w:numPr>
        <w:spacing w:before="0" w:after="0"/>
        <w:ind w:firstLine="709"/>
        <w:jc w:val="center"/>
        <w:outlineLvl w:val="0"/>
        <w:rPr/>
      </w:pPr>
      <w:r>
        <w:rPr>
          <w:rFonts w:ascii="Times New Roman" w:hAnsi="Times New Roman"/>
          <w:b w:val="false"/>
          <w:i w:val="false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b w:val="false"/>
          <w:i w:val="false"/>
          <w:sz w:val="26"/>
          <w:szCs w:val="26"/>
        </w:rPr>
        <w:t>Орловской области»</w:t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numPr>
          <w:ilvl w:val="0"/>
          <w:numId w:val="0"/>
        </w:numPr>
        <w:ind w:firstLine="540"/>
        <w:jc w:val="center"/>
        <w:outlineLvl w:val="0"/>
        <w:rPr>
          <w:sz w:val="27"/>
          <w:szCs w:val="27"/>
        </w:rPr>
      </w:pPr>
      <w:r>
        <w:rPr>
          <w:b/>
          <w:bCs/>
          <w:sz w:val="27"/>
          <w:szCs w:val="27"/>
        </w:rPr>
        <w:t>Ресурсное обеспечение в сфере реализации Программы "Создание и ремонт контейнерных площадок   на территории</w:t>
      </w:r>
    </w:p>
    <w:p>
      <w:pPr>
        <w:pStyle w:val="Normal"/>
        <w:numPr>
          <w:ilvl w:val="0"/>
          <w:numId w:val="0"/>
        </w:numPr>
        <w:ind w:firstLine="540"/>
        <w:jc w:val="center"/>
        <w:outlineLvl w:val="0"/>
        <w:rPr>
          <w:b/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</w:t>
      </w:r>
      <w:r>
        <w:rPr>
          <w:b/>
          <w:bCs/>
          <w:sz w:val="27"/>
          <w:szCs w:val="27"/>
        </w:rPr>
        <w:t>Свердловского  района Орловской области»</w:t>
      </w:r>
    </w:p>
    <w:p>
      <w:pPr>
        <w:pStyle w:val="Normal"/>
        <w:ind w:firstLine="709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tbl>
      <w:tblPr>
        <w:tblW w:w="10200" w:type="dxa"/>
        <w:jc w:val="left"/>
        <w:tblInd w:w="-7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51"/>
        <w:gridCol w:w="2098"/>
        <w:gridCol w:w="2478"/>
        <w:gridCol w:w="1414"/>
        <w:gridCol w:w="1920"/>
        <w:gridCol w:w="1738"/>
      </w:tblGrid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N</w:t>
              <w:br/>
              <w:t>п/п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Местоположение контейнерной площадки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выполнения работ, год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финансирования, тыс. руб.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д. Васильевка, д. Степановка, д. Никуличи, д. Гостиново, д. Яковлево, д. Красная Рыбница, д. Петрово, д. Домнино, д. Городище,  д. Федоровка, д. Гагаринка, д. Марьевка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bookmarkStart w:id="10" w:name="__DdeLink__907_21245962181"/>
            <w:r>
              <w:rPr>
                <w:sz w:val="26"/>
                <w:szCs w:val="26"/>
              </w:rPr>
              <w:t>Устройство основания, ограждения площадки,  приобретение и установка оборудования.</w:t>
            </w:r>
            <w:bookmarkEnd w:id="10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550,00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ул. Ленина 24в, ул. Полевая 1а, ул. Ленина 3в, пер. Ленина 38а, ул. Ленина 1а, ул. Свердлова 51а, ул. Привокзальная 17б, ул. Привокзальная 1а, ул. Ленина 11д, ул. Ленина 7а, 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Устройство ограждения  площадки для накопления ТКО в соответствии с пунктом 2.1.3 СанПиН 42-128-4690-88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ул. Привокзальная 17б,  ул. Привокзальная 1а, ул. Ленина 7а, пер. Ленина 31а, ул. Полевая 1а, пер. Ленина 38а, ул. Ленина 1а, ул. Свердлова 51а, ул. Ленина 71г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Устройство водонепроницаемого покрытия площадки для накопления ТКО в соответствии с пунктом 2.1.3  42-128-4690-88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450,00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ул. Ленина 24б, 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ул. Котовского 3г.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Изменение места расположения контейнерных на расстоянии более 20 м. От жилых домов, детских учреждений, спортивных площадок и от мест отдыха населения 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150,00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Пос. Куракинский площадь имени Князя Куракина д.4; с. Богодухово ул. Садовая, ул. Центральная, ул. Рябиновая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Устройство ограждения  площадки для накопления ТКО в соответствии с пунктом 2.1.3 СанПиН 42-128-4690-88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120,00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с. Богодухово ул. Садовая, ул. Центральная, ул. Рябиновая, ул. Молодежная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Устройство водонепроницаемого покрытия площадки для накопления ТКО в соответствии с пунктом 2.1.3  42-128-4690-88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200,00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Котовское с/п: д. Сорочьи Кусты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Кошелевское с/п: д. Кошелево, д. Барановка, с. Козьминское.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Красноармейское с/п: с. Богородицкое, д. Егорьевка, д. Поздеево, с. Преображенское, д. Сандровка, п. Хорошевский, д. Шамшино.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Никольское с/п: д. Анненский Лазавец, с. Змиево, с. Знаменское, с. Плоское, д. Плота, с. Философово, с. Никольское</w:t>
            </w:r>
          </w:p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>Яковлевское с/п:  д. Давыдово, д. Долгое, д. Хвощино, д. Чибисы (66 площадок)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</w:rPr>
              <w:t xml:space="preserve">Устройство основания, ограждения площадки,  приобретение и установка оборудования.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4500,00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архитектуры, строительства и ЖКХ, подрядная организация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2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6170,00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numPr>
          <w:ilvl w:val="0"/>
          <w:numId w:val="0"/>
        </w:numPr>
        <w:ind w:firstLine="709"/>
        <w:jc w:val="center"/>
        <w:outlineLvl w:val="0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ind w:firstLine="709"/>
        <w:jc w:val="center"/>
        <w:outlineLvl w:val="0"/>
        <w:rPr/>
      </w:pPr>
      <w:r>
        <w:rPr/>
      </w:r>
    </w:p>
    <w:sectPr>
      <w:type w:val="nextPage"/>
      <w:pgSz w:w="11906" w:h="16800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libri Light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 New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9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59dc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 w:customStyle="1">
    <w:name w:val="Heading 1"/>
    <w:basedOn w:val="Normal"/>
    <w:qFormat/>
    <w:rsid w:val="00207284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qFormat/>
    <w:rsid w:val="001d1afc"/>
    <w:pPr>
      <w:keepNext w:val="true"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 w:customStyle="1">
    <w:name w:val="Heading 3"/>
    <w:basedOn w:val="Normal"/>
    <w:qFormat/>
    <w:rsid w:val="006e59dc"/>
    <w:pPr>
      <w:keepNext w:val="true"/>
      <w:jc w:val="center"/>
      <w:outlineLvl w:val="2"/>
    </w:pPr>
    <w:rPr>
      <w:sz w:val="28"/>
    </w:rPr>
  </w:style>
  <w:style w:type="paragraph" w:styleId="5" w:customStyle="1">
    <w:name w:val="Heading 5"/>
    <w:basedOn w:val="Normal"/>
    <w:qFormat/>
    <w:rsid w:val="006e59dc"/>
    <w:pPr>
      <w:keepNext w:val="true"/>
      <w:jc w:val="center"/>
      <w:outlineLvl w:val="4"/>
    </w:pPr>
    <w:rPr>
      <w:b/>
      <w:sz w:val="32"/>
    </w:rPr>
  </w:style>
  <w:style w:type="paragraph" w:styleId="7" w:customStyle="1">
    <w:name w:val="Heading 7"/>
    <w:basedOn w:val="Normal"/>
    <w:qFormat/>
    <w:rsid w:val="006e59dc"/>
    <w:pPr>
      <w:keepNext w:val="true"/>
      <w:jc w:val="center"/>
      <w:outlineLvl w:val="6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Гипертекстовая ссылка"/>
    <w:basedOn w:val="DefaultParagraphFont"/>
    <w:qFormat/>
    <w:rsid w:val="00be1c5a"/>
    <w:rPr>
      <w:color w:val="008000"/>
    </w:rPr>
  </w:style>
  <w:style w:type="character" w:styleId="Style10" w:customStyle="1">
    <w:name w:val="Продолжение ссылки"/>
    <w:basedOn w:val="Style9"/>
    <w:qFormat/>
    <w:rsid w:val="00207284"/>
    <w:rPr>
      <w:color w:val="008000"/>
    </w:rPr>
  </w:style>
  <w:style w:type="character" w:styleId="Style11" w:customStyle="1">
    <w:name w:val="Текст выноски Знак"/>
    <w:basedOn w:val="DefaultParagraphFont"/>
    <w:qFormat/>
    <w:rsid w:val="008044bc"/>
    <w:rPr>
      <w:rFonts w:ascii="Tahoma" w:hAnsi="Tahoma" w:cs="Tahoma"/>
      <w:sz w:val="16"/>
      <w:szCs w:val="16"/>
    </w:rPr>
  </w:style>
  <w:style w:type="character" w:styleId="ListLabel1" w:customStyle="1">
    <w:name w:val="ListLabel 1"/>
    <w:qFormat/>
    <w:rsid w:val="001d1afc"/>
    <w:rPr>
      <w:rFonts w:ascii="Arial" w:hAnsi="Arial" w:cs="Arial"/>
      <w:sz w:val="24"/>
      <w:szCs w:val="24"/>
    </w:rPr>
  </w:style>
  <w:style w:type="character" w:styleId="Style12" w:customStyle="1">
    <w:name w:val="Интернет-ссылка"/>
    <w:rsid w:val="001d1afc"/>
    <w:rPr>
      <w:color w:val="000080"/>
      <w:u w:val="single"/>
    </w:rPr>
  </w:style>
  <w:style w:type="character" w:styleId="ListLabel2" w:customStyle="1">
    <w:name w:val="ListLabel 2"/>
    <w:qFormat/>
    <w:rsid w:val="001d1afc"/>
    <w:rPr>
      <w:rFonts w:ascii="Arial" w:hAnsi="Arial"/>
      <w:sz w:val="24"/>
      <w:szCs w:val="24"/>
    </w:rPr>
  </w:style>
  <w:style w:type="character" w:styleId="ListLabel3" w:customStyle="1">
    <w:name w:val="ListLabel 3"/>
    <w:qFormat/>
    <w:rsid w:val="001d1afc"/>
    <w:rPr>
      <w:rFonts w:ascii="Arial" w:hAnsi="Arial"/>
      <w:b/>
      <w:sz w:val="24"/>
      <w:szCs w:val="24"/>
    </w:rPr>
  </w:style>
  <w:style w:type="character" w:styleId="WW8Num6z0" w:customStyle="1">
    <w:name w:val="WW8Num6z0"/>
    <w:qFormat/>
    <w:rsid w:val="001d1afc"/>
    <w:rPr/>
  </w:style>
  <w:style w:type="character" w:styleId="WW8Num6z1" w:customStyle="1">
    <w:name w:val="WW8Num6z1"/>
    <w:qFormat/>
    <w:rsid w:val="001d1afc"/>
    <w:rPr/>
  </w:style>
  <w:style w:type="character" w:styleId="WW8Num6z2" w:customStyle="1">
    <w:name w:val="WW8Num6z2"/>
    <w:qFormat/>
    <w:rsid w:val="001d1afc"/>
    <w:rPr/>
  </w:style>
  <w:style w:type="character" w:styleId="WW8Num6z3" w:customStyle="1">
    <w:name w:val="WW8Num6z3"/>
    <w:qFormat/>
    <w:rsid w:val="001d1afc"/>
    <w:rPr/>
  </w:style>
  <w:style w:type="character" w:styleId="WW8Num6z4" w:customStyle="1">
    <w:name w:val="WW8Num6z4"/>
    <w:qFormat/>
    <w:rsid w:val="001d1afc"/>
    <w:rPr/>
  </w:style>
  <w:style w:type="character" w:styleId="WW8Num6z5" w:customStyle="1">
    <w:name w:val="WW8Num6z5"/>
    <w:qFormat/>
    <w:rsid w:val="001d1afc"/>
    <w:rPr/>
  </w:style>
  <w:style w:type="character" w:styleId="WW8Num6z6" w:customStyle="1">
    <w:name w:val="WW8Num6z6"/>
    <w:qFormat/>
    <w:rsid w:val="001d1afc"/>
    <w:rPr/>
  </w:style>
  <w:style w:type="character" w:styleId="WW8Num6z7" w:customStyle="1">
    <w:name w:val="WW8Num6z7"/>
    <w:qFormat/>
    <w:rsid w:val="001d1afc"/>
    <w:rPr/>
  </w:style>
  <w:style w:type="character" w:styleId="WW8Num6z8" w:customStyle="1">
    <w:name w:val="WW8Num6z8"/>
    <w:qFormat/>
    <w:rsid w:val="001d1afc"/>
    <w:rPr/>
  </w:style>
  <w:style w:type="character" w:styleId="ListLabel4" w:customStyle="1">
    <w:name w:val="ListLabel 4"/>
    <w:qFormat/>
    <w:rsid w:val="001d1afc"/>
    <w:rPr>
      <w:rFonts w:ascii="Times New Roman" w:hAnsi="Times New Roman" w:cs="Arial"/>
      <w:sz w:val="28"/>
      <w:szCs w:val="28"/>
    </w:rPr>
  </w:style>
  <w:style w:type="character" w:styleId="ListLabel5" w:customStyle="1">
    <w:name w:val="ListLabel 5"/>
    <w:qFormat/>
    <w:rsid w:val="001d1afc"/>
    <w:rPr>
      <w:rFonts w:ascii="Times New Roman" w:hAnsi="Times New Roman"/>
      <w:sz w:val="28"/>
      <w:szCs w:val="28"/>
    </w:rPr>
  </w:style>
  <w:style w:type="character" w:styleId="ListLabel6" w:customStyle="1">
    <w:name w:val="ListLabel 6"/>
    <w:qFormat/>
    <w:rsid w:val="001d1afc"/>
    <w:rPr>
      <w:rFonts w:cs="Arial"/>
      <w:sz w:val="28"/>
      <w:szCs w:val="28"/>
    </w:rPr>
  </w:style>
  <w:style w:type="character" w:styleId="ListLabel7" w:customStyle="1">
    <w:name w:val="ListLabel 7"/>
    <w:qFormat/>
    <w:rsid w:val="001d1afc"/>
    <w:rPr>
      <w:sz w:val="28"/>
      <w:szCs w:val="28"/>
    </w:rPr>
  </w:style>
  <w:style w:type="character" w:styleId="ListLabel8" w:customStyle="1">
    <w:name w:val="ListLabel 8"/>
    <w:qFormat/>
    <w:rsid w:val="001d1afc"/>
    <w:rPr>
      <w:rFonts w:ascii="Times New Roman" w:hAnsi="Times New Roman" w:cs="Arial"/>
      <w:sz w:val="28"/>
      <w:szCs w:val="28"/>
    </w:rPr>
  </w:style>
  <w:style w:type="character" w:styleId="ListLabel9" w:customStyle="1">
    <w:name w:val="ListLabel 9"/>
    <w:qFormat/>
    <w:rsid w:val="001d1afc"/>
    <w:rPr>
      <w:sz w:val="28"/>
      <w:szCs w:val="28"/>
    </w:rPr>
  </w:style>
  <w:style w:type="character" w:styleId="ListLabel10" w:customStyle="1">
    <w:name w:val="ListLabel 10"/>
    <w:qFormat/>
    <w:rsid w:val="001d1afc"/>
    <w:rPr>
      <w:rFonts w:cs="Arial"/>
      <w:sz w:val="28"/>
      <w:szCs w:val="28"/>
    </w:rPr>
  </w:style>
  <w:style w:type="character" w:styleId="ListLabel11" w:customStyle="1">
    <w:name w:val="ListLabel 11"/>
    <w:qFormat/>
    <w:rsid w:val="001d1afc"/>
    <w:rPr>
      <w:sz w:val="28"/>
      <w:szCs w:val="28"/>
    </w:rPr>
  </w:style>
  <w:style w:type="character" w:styleId="ListLabel12" w:customStyle="1">
    <w:name w:val="ListLabel 12"/>
    <w:qFormat/>
    <w:rsid w:val="001d1afc"/>
    <w:rPr>
      <w:rFonts w:ascii="Times New Roman" w:hAnsi="Times New Roman" w:cs="Arial"/>
      <w:sz w:val="28"/>
      <w:szCs w:val="28"/>
    </w:rPr>
  </w:style>
  <w:style w:type="character" w:styleId="ListLabel13" w:customStyle="1">
    <w:name w:val="ListLabel 13"/>
    <w:qFormat/>
    <w:rsid w:val="001d1afc"/>
    <w:rPr>
      <w:rFonts w:ascii="Times New Roman" w:hAnsi="Times New Roman"/>
      <w:b w:val="false"/>
      <w:bCs w:val="false"/>
      <w:sz w:val="28"/>
      <w:szCs w:val="28"/>
    </w:rPr>
  </w:style>
  <w:style w:type="character" w:styleId="ListLabel14" w:customStyle="1">
    <w:name w:val="ListLabel 14"/>
    <w:qFormat/>
    <w:rsid w:val="001d1afc"/>
    <w:rPr>
      <w:rFonts w:ascii="Times New Roman" w:hAnsi="Times New Roman"/>
      <w:sz w:val="28"/>
      <w:szCs w:val="28"/>
    </w:rPr>
  </w:style>
  <w:style w:type="character" w:styleId="ListLabel15" w:customStyle="1">
    <w:name w:val="ListLabel 15"/>
    <w:qFormat/>
    <w:rsid w:val="001d1afc"/>
    <w:rPr>
      <w:rFonts w:cs="Arial"/>
      <w:sz w:val="28"/>
      <w:szCs w:val="28"/>
    </w:rPr>
  </w:style>
  <w:style w:type="character" w:styleId="ListLabel16" w:customStyle="1">
    <w:name w:val="ListLabel 16"/>
    <w:qFormat/>
    <w:rsid w:val="001d1afc"/>
    <w:rPr>
      <w:b w:val="false"/>
      <w:bCs w:val="false"/>
      <w:sz w:val="28"/>
      <w:szCs w:val="28"/>
    </w:rPr>
  </w:style>
  <w:style w:type="character" w:styleId="ListLabel17" w:customStyle="1">
    <w:name w:val="ListLabel 17"/>
    <w:qFormat/>
    <w:rsid w:val="001d1afc"/>
    <w:rPr>
      <w:sz w:val="28"/>
      <w:szCs w:val="28"/>
    </w:rPr>
  </w:style>
  <w:style w:type="character" w:styleId="ListLabel18" w:customStyle="1">
    <w:name w:val="ListLabel 18"/>
    <w:qFormat/>
    <w:rsid w:val="001d1afc"/>
    <w:rPr>
      <w:rFonts w:ascii="Times New Roman" w:hAnsi="Times New Roman" w:cs="Arial"/>
      <w:sz w:val="28"/>
      <w:szCs w:val="28"/>
    </w:rPr>
  </w:style>
  <w:style w:type="character" w:styleId="ListLabel19" w:customStyle="1">
    <w:name w:val="ListLabel 19"/>
    <w:qFormat/>
    <w:rsid w:val="001d1afc"/>
    <w:rPr>
      <w:rFonts w:ascii="Times New Roman" w:hAnsi="Times New Roman"/>
      <w:b w:val="false"/>
      <w:bCs w:val="false"/>
      <w:sz w:val="28"/>
      <w:szCs w:val="28"/>
    </w:rPr>
  </w:style>
  <w:style w:type="character" w:styleId="ListLabel20" w:customStyle="1">
    <w:name w:val="ListLabel 20"/>
    <w:qFormat/>
    <w:rsid w:val="001d1afc"/>
    <w:rPr>
      <w:rFonts w:ascii="Times New Roman" w:hAnsi="Times New Roman"/>
      <w:sz w:val="28"/>
      <w:szCs w:val="28"/>
    </w:rPr>
  </w:style>
  <w:style w:type="character" w:styleId="ListLabel21" w:customStyle="1">
    <w:name w:val="ListLabel 21"/>
    <w:qFormat/>
    <w:rsid w:val="001d1afc"/>
    <w:rPr>
      <w:rFonts w:cs="Arial"/>
      <w:sz w:val="28"/>
      <w:szCs w:val="28"/>
    </w:rPr>
  </w:style>
  <w:style w:type="character" w:styleId="ListLabel22" w:customStyle="1">
    <w:name w:val="ListLabel 22"/>
    <w:qFormat/>
    <w:rsid w:val="001d1afc"/>
    <w:rPr>
      <w:b w:val="false"/>
      <w:bCs w:val="false"/>
      <w:sz w:val="28"/>
      <w:szCs w:val="28"/>
    </w:rPr>
  </w:style>
  <w:style w:type="character" w:styleId="ListLabel23" w:customStyle="1">
    <w:name w:val="ListLabel 23"/>
    <w:qFormat/>
    <w:rsid w:val="001d1afc"/>
    <w:rPr>
      <w:sz w:val="28"/>
      <w:szCs w:val="28"/>
    </w:rPr>
  </w:style>
  <w:style w:type="character" w:styleId="ListLabel24" w:customStyle="1">
    <w:name w:val="ListLabel 24"/>
    <w:qFormat/>
    <w:rsid w:val="001d1afc"/>
    <w:rPr>
      <w:rFonts w:ascii="Times New Roman" w:hAnsi="Times New Roman" w:cs="Arial"/>
      <w:sz w:val="28"/>
      <w:szCs w:val="28"/>
    </w:rPr>
  </w:style>
  <w:style w:type="character" w:styleId="ListLabel25" w:customStyle="1">
    <w:name w:val="ListLabel 25"/>
    <w:qFormat/>
    <w:rsid w:val="001d1afc"/>
    <w:rPr>
      <w:rFonts w:cs="Arial"/>
      <w:sz w:val="28"/>
      <w:szCs w:val="28"/>
    </w:rPr>
  </w:style>
  <w:style w:type="character" w:styleId="ListLabel26" w:customStyle="1">
    <w:name w:val="ListLabel 26"/>
    <w:qFormat/>
    <w:rsid w:val="001d1afc"/>
    <w:rPr>
      <w:b w:val="false"/>
      <w:bCs w:val="false"/>
      <w:sz w:val="28"/>
      <w:szCs w:val="28"/>
    </w:rPr>
  </w:style>
  <w:style w:type="character" w:styleId="ListLabel27" w:customStyle="1">
    <w:name w:val="ListLabel 27"/>
    <w:qFormat/>
    <w:rsid w:val="001d1afc"/>
    <w:rPr>
      <w:sz w:val="28"/>
      <w:szCs w:val="28"/>
    </w:rPr>
  </w:style>
  <w:style w:type="character" w:styleId="ListLabel28" w:customStyle="1">
    <w:name w:val="ListLabel 28"/>
    <w:qFormat/>
    <w:rsid w:val="001d1afc"/>
    <w:rPr>
      <w:b w:val="false"/>
      <w:bCs w:val="false"/>
      <w:sz w:val="28"/>
      <w:szCs w:val="28"/>
    </w:rPr>
  </w:style>
  <w:style w:type="character" w:styleId="ListLabel29" w:customStyle="1">
    <w:name w:val="ListLabel 29"/>
    <w:qFormat/>
    <w:rsid w:val="001d1afc"/>
    <w:rPr>
      <w:sz w:val="28"/>
      <w:szCs w:val="28"/>
    </w:rPr>
  </w:style>
  <w:style w:type="character" w:styleId="ListLabel30" w:customStyle="1">
    <w:name w:val="ListLabel 30"/>
    <w:qFormat/>
    <w:rsid w:val="001d1afc"/>
    <w:rPr>
      <w:rFonts w:ascii="Times New Roman" w:hAnsi="Times New Roman"/>
      <w:b w:val="false"/>
      <w:bCs w:val="false"/>
      <w:sz w:val="28"/>
      <w:szCs w:val="28"/>
    </w:rPr>
  </w:style>
  <w:style w:type="character" w:styleId="ListLabel31" w:customStyle="1">
    <w:name w:val="ListLabel 31"/>
    <w:qFormat/>
    <w:rsid w:val="001d1afc"/>
    <w:rPr>
      <w:rFonts w:ascii="Times New Roman" w:hAnsi="Times New Roman"/>
      <w:sz w:val="28"/>
      <w:szCs w:val="28"/>
    </w:rPr>
  </w:style>
  <w:style w:type="character" w:styleId="ListLabel32">
    <w:name w:val="ListLabel 32"/>
    <w:qFormat/>
    <w:rPr>
      <w:sz w:val="28"/>
      <w:szCs w:val="28"/>
    </w:rPr>
  </w:style>
  <w:style w:type="character" w:styleId="ListLabel33">
    <w:name w:val="ListLabel 33"/>
    <w:qFormat/>
    <w:rPr>
      <w:rFonts w:ascii="Times New Roman" w:hAnsi="Times New Roman"/>
      <w:sz w:val="28"/>
      <w:szCs w:val="28"/>
    </w:rPr>
  </w:style>
  <w:style w:type="paragraph" w:styleId="Style13" w:customStyle="1">
    <w:name w:val="Заголовок"/>
    <w:basedOn w:val="Normal"/>
    <w:next w:val="Style14"/>
    <w:qFormat/>
    <w:rsid w:val="001d1afc"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4">
    <w:name w:val="Body Text"/>
    <w:basedOn w:val="Normal"/>
    <w:rsid w:val="001d1afc"/>
    <w:pPr>
      <w:spacing w:lineRule="auto" w:line="276" w:before="0" w:after="140"/>
    </w:pPr>
    <w:rPr/>
  </w:style>
  <w:style w:type="paragraph" w:styleId="Style15">
    <w:name w:val="List"/>
    <w:basedOn w:val="Style14"/>
    <w:rsid w:val="001d1afc"/>
    <w:pPr/>
    <w:rPr>
      <w:rFonts w:cs="Lohit Devanagari"/>
    </w:rPr>
  </w:style>
  <w:style w:type="paragraph" w:styleId="Style16" w:customStyle="1">
    <w:name w:val="Caption"/>
    <w:basedOn w:val="Normal"/>
    <w:qFormat/>
    <w:rsid w:val="001d1afc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Indexheading">
    <w:name w:val="index heading"/>
    <w:basedOn w:val="Normal"/>
    <w:qFormat/>
    <w:rsid w:val="001d1afc"/>
    <w:pPr>
      <w:suppressLineNumbers/>
    </w:pPr>
    <w:rPr>
      <w:rFonts w:cs="Lohit Devanagari"/>
    </w:rPr>
  </w:style>
  <w:style w:type="paragraph" w:styleId="Style18" w:customStyle="1">
    <w:name w:val="Таблицы (моноширинный)"/>
    <w:basedOn w:val="Normal"/>
    <w:qFormat/>
    <w:rsid w:val="00207284"/>
    <w:pPr>
      <w:widowControl w:val="false"/>
      <w:jc w:val="both"/>
    </w:pPr>
    <w:rPr>
      <w:rFonts w:ascii="Courier New" w:hAnsi="Courier New" w:cs="Courier New"/>
      <w:sz w:val="24"/>
      <w:szCs w:val="24"/>
    </w:rPr>
  </w:style>
  <w:style w:type="paragraph" w:styleId="BalloonText">
    <w:name w:val="Balloon Text"/>
    <w:basedOn w:val="Normal"/>
    <w:qFormat/>
    <w:rsid w:val="008044bc"/>
    <w:pPr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qFormat/>
    <w:rsid w:val="001d1afc"/>
    <w:pPr>
      <w:spacing w:before="0" w:after="120"/>
      <w:ind w:left="283" w:hanging="0"/>
    </w:pPr>
    <w:rPr>
      <w:sz w:val="16"/>
      <w:szCs w:val="16"/>
    </w:rPr>
  </w:style>
  <w:style w:type="paragraph" w:styleId="Style19">
    <w:name w:val="Body Text Indent"/>
    <w:basedOn w:val="Normal"/>
    <w:rsid w:val="001d1afc"/>
    <w:pPr>
      <w:spacing w:before="0" w:after="120"/>
      <w:ind w:left="283" w:hanging="0"/>
    </w:pPr>
    <w:rPr/>
  </w:style>
  <w:style w:type="paragraph" w:styleId="BlockText">
    <w:name w:val="Block Text"/>
    <w:basedOn w:val="Normal"/>
    <w:qFormat/>
    <w:rsid w:val="001d1afc"/>
    <w:pPr>
      <w:ind w:left="113" w:right="113" w:hanging="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  <w:rsid w:val="001d1afc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1c12d2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2056876.0" TargetMode="External"/><Relationship Id="rId3" Type="http://schemas.openxmlformats.org/officeDocument/2006/relationships/hyperlink" Target="garantf1://2056876.0" TargetMode="External"/><Relationship Id="rId4" Type="http://schemas.openxmlformats.org/officeDocument/2006/relationships/hyperlink" Target="garantf1://12012084.0" TargetMode="External"/><Relationship Id="rId5" Type="http://schemas.openxmlformats.org/officeDocument/2006/relationships/hyperlink" Target="garantf1://2056876.0" TargetMode="External"/><Relationship Id="rId6" Type="http://schemas.openxmlformats.org/officeDocument/2006/relationships/hyperlink" Target="garantf1://2056876.0" TargetMode="External"/><Relationship Id="rId7" Type="http://schemas.openxmlformats.org/officeDocument/2006/relationships/hyperlink" Target="garantf1://2056876.0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88772-76C2-4E5F-BEEF-A47CF6BE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Application>LibreOffice/6.0.7.3$Linux_X86_64 LibreOffice_project/00m0$Build-3</Application>
  <Pages>13</Pages>
  <Words>2357</Words>
  <Characters>16766</Characters>
  <CharactersWithSpaces>20734</CharactersWithSpaces>
  <Paragraphs>255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2019-02-28T11:57:00Z</dcterms:created>
  <dc:creator>Admin</dc:creator>
  <dc:description/>
  <dc:language>ru-RU</dc:language>
  <cp:lastModifiedBy/>
  <cp:lastPrinted>2019-09-13T07:36:00Z</cp:lastPrinted>
  <dcterms:modified xsi:type="dcterms:W3CDTF">2019-10-14T15:44:11Z</dcterms:modified>
  <cp:revision>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